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>
      <w:pPr>
        <w:spacing w:after="240"/>
        <w:jc w:val="center"/>
      </w:pPr>
      <w:r>
        <w:rPr>
          <w:rFonts w:ascii="Microsoft YaHei" w:hAnsi="Microsoft YaHei"/>
          <w:b/>
          <w:color w:val="1A1A1A"/>
          <w:sz w:val="48"/>
        </w:rPr>
        <w:t>AI创业战略推演：为什么是“首席电商增长官”</w:t>
      </w:r>
    </w:p>
    <w:p>
      <w:pPr>
        <w:jc w:val="center"/>
      </w:pPr>
      <w:r>
        <w:rPr>
          <w:rFonts w:ascii="Microsoft YaHei" w:hAnsi="Microsoft YaHei"/>
          <w:b w:val="0"/>
          <w:color w:val="555555"/>
          <w:sz w:val="28"/>
        </w:rPr>
        <w:t>——基于互联网演进规律的深度分析与创业机会洞察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/>
          <w:color w:val="1A1A1A"/>
        </w:rPr>
        <w:t>一、底层逻辑：从互联网演进规律看AI经济</w:t>
      </w:r>
    </w:p>
    <w:p>
      <w:pPr>
        <w:pStyle w:val="Heading2"/>
      </w:pPr>
      <w:r>
        <w:rPr>
          <w:rFonts w:ascii="Microsoft YaHei" w:hAnsi="Microsoft YaHei"/>
          <w:color w:val="1A1A1A"/>
        </w:rPr>
        <w:t>1.1 互联网经济的演进路径</w:t>
      </w:r>
    </w:p>
    <w:p>
      <w:r>
        <w:rPr>
          <w:rFonts w:ascii="Microsoft YaHei" w:hAnsi="Microsoft YaHei"/>
          <w:b w:val="0"/>
          <w:sz w:val="21"/>
        </w:rPr>
        <w:t>互联网经济经历了清晰的演进阶段：基础设施（ISP）→ 门户（雅虎/新浪）→ 搜索/电商（谷歌/亚马逊）→ 本地生活/共享经济（美团/滴滴）→ 算法推荐平台（字节跳动）。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其背后的三条核心驱动力是：</w:t>
      </w:r>
    </w:p>
    <w:p>
      <w:pPr>
        <w:pStyle w:val="ListNumber"/>
      </w:pPr>
      <w:r>
        <w:rPr>
          <w:rFonts w:ascii="Microsoft YaHei" w:hAnsi="Microsoft YaHei"/>
          <w:sz w:val="21"/>
        </w:rPr>
        <w:t>技术栈的成熟度传递：基础设施 → 标准化平台 → 应用大爆发。每一层成熟，为上层提供低成本标准化基础。</w:t>
      </w:r>
    </w:p>
    <w:p>
      <w:pPr>
        <w:pStyle w:val="ListNumber"/>
      </w:pPr>
      <w:r>
        <w:rPr>
          <w:rFonts w:ascii="Microsoft YaHei" w:hAnsi="Microsoft YaHei"/>
          <w:sz w:val="21"/>
        </w:rPr>
        <w:t>交互范式的跃迁：命令行 → 图形界面 → 触摸屏 → 算法推荐。掌握下一代信息输入/输出方式者掌握入口。</w:t>
      </w:r>
    </w:p>
    <w:p>
      <w:pPr>
        <w:pStyle w:val="ListNumber"/>
      </w:pPr>
      <w:r>
        <w:rPr>
          <w:rFonts w:ascii="Microsoft YaHei" w:hAnsi="Microsoft YaHei"/>
          <w:sz w:val="21"/>
        </w:rPr>
        <w:t>商业模式的重构：纯信息 → 虚拟交易 → 实体服务交易 → 物理世界重组。本质是用数字高效率重组物理低效率。</w:t>
      </w:r>
    </w:p>
    <w:p>
      <w:pPr>
        <w:pStyle w:val="Heading2"/>
      </w:pPr>
      <w:r>
        <w:rPr>
          <w:rFonts w:ascii="Microsoft YaHei" w:hAnsi="Microsoft YaHei"/>
          <w:color w:val="1A1A1A"/>
        </w:rPr>
        <w:t>1.2 映射到人工智能经济</w:t>
      </w:r>
    </w:p>
    <w:p>
      <w:r>
        <w:rPr>
          <w:rFonts w:ascii="Microsoft YaHei" w:hAnsi="Microsoft YaHei"/>
          <w:b w:val="0"/>
          <w:sz w:val="21"/>
        </w:rPr>
        <w:t>AI经济正在沿着类似路径演进：建脑（大模型）→ 造官能（智能体平台）→ 重构商业（AI原生应用）→ 赋予身体（具身智能）。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关键判断：当下正处于从“建脑”到“造官能/重构商业”的过渡期。</w:t>
      </w:r>
    </w:p>
    <w:p>
      <w:r>
        <w:rPr>
          <w:rFonts w:ascii="Microsoft YaHei" w:hAnsi="Microsoft YaHei"/>
          <w:b w:val="0"/>
          <w:sz w:val="21"/>
        </w:rPr>
        <w:t>大模型是巨头的战场，而智能体平台与应用层，是新一代创业机会萌发的战略窗口。</w:t>
      </w:r>
    </w:p>
    <w:p>
      <w:pPr>
        <w:pStyle w:val="Heading1"/>
      </w:pPr>
      <w:r>
        <w:rPr>
          <w:rFonts w:ascii="Microsoft YaHei" w:hAnsi="Microsoft YaHei"/>
          <w:color w:val="1A1A1A"/>
        </w:rPr>
        <w:t>二、核心锚点：智能体编排器</w:t>
      </w:r>
    </w:p>
    <w:p>
      <w:pPr>
        <w:pStyle w:val="Heading2"/>
      </w:pPr>
      <w:r>
        <w:rPr>
          <w:rFonts w:ascii="Microsoft YaHei" w:hAnsi="Microsoft YaHei"/>
          <w:color w:val="1A1A1A"/>
        </w:rPr>
        <w:t>2.1 什么是智能体编排器</w:t>
      </w:r>
    </w:p>
    <w:p>
      <w:r>
        <w:rPr>
          <w:rFonts w:ascii="Microsoft YaHei" w:hAnsi="Microsoft YaHei"/>
          <w:b w:val="0"/>
          <w:sz w:val="21"/>
        </w:rPr>
        <w:t>智能体编排器，是一个“AI团队的虚拟项目经理”。它能接收复杂商业目标，自动拆解为子任务，调度多个专业智能体（如竞品监控、用户分析、内容生成等）分工协作，审核成果，完成端到端的复杂工作流。</w:t>
      </w:r>
    </w:p>
    <w:p>
      <w:r>
        <w:rPr>
          <w:rFonts w:ascii="Microsoft YaHei" w:hAnsi="Microsoft YaHei"/>
          <w:b w:val="0"/>
          <w:sz w:val="21"/>
        </w:rPr>
        <w:t>它解决的核心问题：单一智能体能力有天花板，复杂业务流程多环节割裂。编排器让多个AI专才自动、可靠地协同完成复杂任务。</w:t>
      </w:r>
    </w:p>
    <w:p>
      <w:pPr>
        <w:pStyle w:val="Heading2"/>
      </w:pPr>
      <w:r>
        <w:rPr>
          <w:rFonts w:ascii="Microsoft YaHei" w:hAnsi="Microsoft YaHei"/>
          <w:color w:val="1A1A1A"/>
        </w:rPr>
        <w:t>2.2 商业模式的多层进化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层级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模式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核心价值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第一层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SaaS订阅费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卖工具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第二层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效果分成/佣金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卖结果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第三层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专有模型与数据服务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卖行业认知的数字化分身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第四层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生态平台抽佣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收生态税</w:t>
            </w:r>
          </w:p>
        </w:tc>
      </w:tr>
    </w:tbl>
    <w:p/>
    <w:p>
      <w:pPr>
        <w:pStyle w:val="Heading2"/>
      </w:pPr>
      <w:r>
        <w:rPr>
          <w:rFonts w:ascii="Microsoft YaHei" w:hAnsi="Microsoft YaHei"/>
          <w:color w:val="1A1A1A"/>
        </w:rPr>
        <w:t>2.3 关键战略判断</w:t>
      </w:r>
    </w:p>
    <w:p>
      <w:r>
        <w:rPr>
          <w:rFonts w:ascii="Microsoft YaHei" w:hAnsi="Microsoft YaHei"/>
          <w:b w:val="0"/>
          <w:sz w:val="21"/>
        </w:rPr>
        <w:t>纯编排器平台是未来的终局，但不是现在的起点。当前市场上没有足够多质量可靠、接口标准的第三方智能体可供调度。创业公司必须从“垂直行业解决方案”切入，在内部将编排器能力和自研专业智能体紧密耦合，打包交付。待生态成熟时，自然演进为平台。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核心战略：以“造市场没有的兵”为尖刀，撕开高价值市场，在实战中喂养和打磨编排器内核。</w:t>
      </w:r>
    </w:p>
    <w:p>
      <w:pPr>
        <w:pStyle w:val="Heading1"/>
      </w:pPr>
      <w:r>
        <w:rPr>
          <w:rFonts w:ascii="Microsoft YaHei" w:hAnsi="Microsoft YaHei"/>
          <w:color w:val="1A1A1A"/>
        </w:rPr>
        <w:t>三、行业推演：为什么是电商？为什么是产品端？</w:t>
      </w:r>
    </w:p>
    <w:p>
      <w:pPr>
        <w:pStyle w:val="Heading2"/>
      </w:pPr>
      <w:r>
        <w:rPr>
          <w:rFonts w:ascii="Microsoft YaHei" w:hAnsi="Microsoft YaHei"/>
          <w:color w:val="1A1A1A"/>
        </w:rPr>
        <w:t>3.1 以电商为分析样本</w:t>
      </w:r>
    </w:p>
    <w:p>
      <w:r>
        <w:rPr>
          <w:rFonts w:ascii="Microsoft YaHei" w:hAnsi="Microsoft YaHei"/>
          <w:b w:val="0"/>
          <w:sz w:val="21"/>
        </w:rPr>
        <w:t>电商是商业闭环最短、数据最密集、支付意愿最强的领域之一，适合作为方法论验证的第一战场。</w:t>
      </w:r>
    </w:p>
    <w:p>
      <w:pPr>
        <w:pStyle w:val="Heading2"/>
      </w:pPr>
      <w:r>
        <w:rPr>
          <w:rFonts w:ascii="Microsoft YaHei" w:hAnsi="Microsoft YaHei"/>
          <w:color w:val="1A1A1A"/>
        </w:rPr>
        <w:t>3.2 推演中的关键认知突破</w:t>
      </w:r>
    </w:p>
    <w:p>
      <w:r>
        <w:rPr>
          <w:rFonts w:ascii="Microsoft YaHei" w:hAnsi="Microsoft YaHei"/>
          <w:b w:val="0"/>
          <w:sz w:val="21"/>
        </w:rPr>
        <w:t>推演过程中的两个关键认知修正：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修正一：电商运营AI化已是红海</w:t>
      </w:r>
    </w:p>
    <w:p>
      <w:r>
        <w:rPr>
          <w:rFonts w:ascii="Microsoft YaHei" w:hAnsi="Microsoft YaHei"/>
          <w:b w:val="0"/>
          <w:sz w:val="21"/>
        </w:rPr>
        <w:t>市面大量SaaS公司、代运营公司、平台官方工具，已在自动化投放、智能客服、内容生成等领域激烈竞争。做“AI运营工具”会陷入同质化竞争。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修正二：价值链的上游才是蓝海</w:t>
      </w:r>
    </w:p>
    <w:p>
      <w:r>
        <w:rPr>
          <w:rFonts w:ascii="Microsoft YaHei" w:hAnsi="Microsoft YaHei"/>
          <w:b w:val="0"/>
          <w:sz w:val="21"/>
        </w:rPr>
        <w:t>产品决策比运营决策更具战略价值。产品是“因”，运营是“果”。从产品端切入，是帮企业“做正确的事”；从运营端切入，仅是“把事情做正确”。前者对CEO/产品VP的战略价值更高，支付意愿更强，竞争几乎空白。</w:t>
      </w:r>
    </w:p>
    <w:p>
      <w:pPr>
        <w:pStyle w:val="Heading2"/>
      </w:pPr>
      <w:r>
        <w:rPr>
          <w:rFonts w:ascii="Microsoft YaHei" w:hAnsi="Microsoft YaHei"/>
          <w:color w:val="1A1A1A"/>
        </w:rPr>
        <w:t>3.3 三个方案的对比与取舍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方案</w:t>
            </w:r>
          </w:p>
        </w:tc>
        <w:tc>
          <w:tcPr>
            <w:tcW w:type="dxa" w:w="199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切入方向</w:t>
            </w:r>
          </w:p>
        </w:tc>
        <w:tc>
          <w:tcPr>
            <w:tcW w:type="dxa" w:w="199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核心壁垒</w:t>
            </w:r>
          </w:p>
        </w:tc>
        <w:tc>
          <w:tcPr>
            <w:tcW w:type="dxa" w:w="199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适合团队</w:t>
            </w:r>
          </w:p>
        </w:tc>
        <w:tc>
          <w:tcPr>
            <w:tcW w:type="dxa" w:w="199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结论</w:t>
            </w:r>
          </w:p>
        </w:tc>
      </w:tr>
      <w:tr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方案一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产品创新（VoC洞察）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行业认知+私有数据飞轮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产品基因强的团队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我们的选择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Microsoft YaHei" w:hAnsi="Microsoft YaHei"/>
                <w:sz w:val="19"/>
              </w:rPr>
              <w:t>方案二</w:t>
            </w:r>
          </w:p>
        </w:tc>
        <w:tc>
          <w:tcPr>
            <w:tcW w:type="dxa" w:w="1994"/>
          </w:tcPr>
          <w:p>
            <w:r/>
            <w:r>
              <w:rPr>
                <w:rFonts w:ascii="Microsoft YaHei" w:hAnsi="Microsoft YaHei"/>
                <w:sz w:val="19"/>
              </w:rPr>
              <w:t>视频号内容策略</w:t>
            </w:r>
          </w:p>
        </w:tc>
        <w:tc>
          <w:tcPr>
            <w:tcW w:type="dxa" w:w="1994"/>
          </w:tcPr>
          <w:p>
            <w:r/>
            <w:r>
              <w:rPr>
                <w:rFonts w:ascii="Microsoft YaHei" w:hAnsi="Microsoft YaHei"/>
                <w:sz w:val="19"/>
              </w:rPr>
              <w:t>平台生态认知</w:t>
            </w:r>
          </w:p>
        </w:tc>
        <w:tc>
          <w:tcPr>
            <w:tcW w:type="dxa" w:w="1994"/>
          </w:tcPr>
          <w:p>
            <w:r/>
            <w:r>
              <w:rPr>
                <w:rFonts w:ascii="Microsoft YaHei" w:hAnsi="Microsoft YaHei"/>
                <w:sz w:val="19"/>
              </w:rPr>
              <w:t>内容基因强、有操盘手</w:t>
            </w:r>
          </w:p>
        </w:tc>
        <w:tc>
          <w:tcPr>
            <w:tcW w:type="dxa" w:w="1994"/>
          </w:tcPr>
          <w:p>
            <w:r/>
            <w:r>
              <w:rPr>
                <w:rFonts w:ascii="Microsoft YaHei" w:hAnsi="Microsoft YaHei"/>
                <w:sz w:val="19"/>
              </w:rPr>
              <w:t>不匹配创始人基因</w:t>
            </w:r>
          </w:p>
        </w:tc>
      </w:tr>
      <w:tr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方案三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大促运营指挥官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决策流程嵌入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电商运营经验极强</w:t>
            </w:r>
          </w:p>
        </w:tc>
        <w:tc>
          <w:tcPr>
            <w:tcW w:type="dxa" w:w="199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冷启动周期过长</w:t>
            </w:r>
          </w:p>
        </w:tc>
      </w:tr>
    </w:tbl>
    <w:p/>
    <w:p>
      <w:r>
        <w:rPr>
          <w:rFonts w:ascii="Microsoft YaHei" w:hAnsi="Microsoft YaHei"/>
          <w:b w:val="0"/>
          <w:sz w:val="21"/>
        </w:rPr>
        <w:t>方案一胜出的核心原因：它将创始人的商业洞见转化为AI语料，帮助品牌从海量用户反馈中挖掘产品迭代和创新机会。这是一个巨头顾不上、小公司做不了的典型高价值缝隙市场。</w:t>
      </w:r>
    </w:p>
    <w:p>
      <w:pPr>
        <w:pStyle w:val="Heading1"/>
      </w:pPr>
      <w:r>
        <w:rPr>
          <w:rFonts w:ascii="Microsoft YaHei" w:hAnsi="Microsoft YaHei"/>
          <w:color w:val="1A1A1A"/>
        </w:rPr>
        <w:t>四、领域选择：五个赛道的多维对比</w:t>
      </w:r>
    </w:p>
    <w:p>
      <w:r>
        <w:rPr>
          <w:rFonts w:ascii="Microsoft YaHei" w:hAnsi="Microsoft YaHei"/>
          <w:b w:val="0"/>
          <w:sz w:val="21"/>
        </w:rPr>
        <w:t>基于“市场痛点、数据可得性、决策AI化价值、壁垒建立速度、延展性”五大维度，对五个消费赛道进行系统对比：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维度</w:t>
            </w:r>
          </w:p>
        </w:tc>
        <w:tc>
          <w:tcPr>
            <w:tcW w:type="dxa" w:w="1662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美妆护肤</w:t>
            </w:r>
          </w:p>
        </w:tc>
        <w:tc>
          <w:tcPr>
            <w:tcW w:type="dxa" w:w="1662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宠物用品</w:t>
            </w:r>
          </w:p>
        </w:tc>
        <w:tc>
          <w:tcPr>
            <w:tcW w:type="dxa" w:w="1662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服装</w:t>
            </w:r>
          </w:p>
        </w:tc>
        <w:tc>
          <w:tcPr>
            <w:tcW w:type="dxa" w:w="1662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鞋帽</w:t>
            </w:r>
          </w:p>
        </w:tc>
        <w:tc>
          <w:tcPr>
            <w:tcW w:type="dxa" w:w="1662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家居护理</w:t>
            </w:r>
          </w:p>
        </w:tc>
      </w:tr>
      <w:tr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市场痛点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极痛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痛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较痛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一般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不明确</w:t>
            </w:r>
          </w:p>
        </w:tc>
      </w:tr>
      <w:tr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数据可得性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极丰富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丰富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丰富但难用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中等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贫乏浅层</w:t>
            </w:r>
          </w:p>
        </w:tc>
      </w:tr>
      <w:tr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决策AI化价值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极高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高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中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中低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低</w:t>
            </w:r>
          </w:p>
        </w:tc>
      </w:tr>
      <w:tr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壁垒建立速度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快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中快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慢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慢</w:t>
            </w:r>
          </w:p>
        </w:tc>
        <w:tc>
          <w:tcPr>
            <w:tcW w:type="dxa" w:w="1662"/>
          </w:tcPr>
          <w:p>
            <w:r/>
            <w:r>
              <w:rPr>
                <w:rFonts w:ascii="Microsoft YaHei" w:hAnsi="Microsoft YaHei"/>
                <w:sz w:val="19"/>
              </w:rPr>
              <w:t>极慢</w:t>
            </w:r>
          </w:p>
        </w:tc>
      </w:tr>
      <w:tr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延展性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极佳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佳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佳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中</w:t>
            </w:r>
          </w:p>
        </w:tc>
        <w:tc>
          <w:tcPr>
            <w:tcW w:type="dxa" w:w="1662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差</w:t>
            </w:r>
          </w:p>
        </w:tc>
      </w:tr>
    </w:tbl>
    <w:p/>
    <w:p>
      <w:pPr>
        <w:spacing w:before="120"/>
      </w:pPr>
      <w:r>
        <w:rPr>
          <w:rFonts w:ascii="Microsoft YaHei" w:hAnsi="Microsoft YaHei"/>
          <w:b/>
          <w:sz w:val="21"/>
        </w:rPr>
        <w:t>结论：美妆护肤是毋庸置疑的第一选择。</w:t>
      </w:r>
    </w:p>
    <w:p>
      <w:r>
        <w:rPr>
          <w:rFonts w:ascii="Microsoft YaHei" w:hAnsi="Microsoft YaHei"/>
          <w:b w:val="0"/>
          <w:sz w:val="21"/>
        </w:rPr>
        <w:t>它拥有最复杂、最丰富的用户语言，最短的产品创新周期，最高的决策价值。是构建行业知识图谱、训练产品决策AI的完美“实验室”。</w:t>
      </w:r>
    </w:p>
    <w:p>
      <w:r>
        <w:rPr>
          <w:rFonts w:ascii="Microsoft YaHei" w:hAnsi="Microsoft YaHei"/>
          <w:b w:val="0"/>
          <w:sz w:val="21"/>
        </w:rPr>
        <w:t>备选方向：供应链与全球贸易合规值得作为第二赛道调研，其行业深度和技术门槛与创始人组合高度匹配。</w:t>
      </w:r>
    </w:p>
    <w:p>
      <w:pPr>
        <w:pStyle w:val="Heading1"/>
      </w:pPr>
      <w:r>
        <w:rPr>
          <w:rFonts w:ascii="Microsoft YaHei" w:hAnsi="Microsoft YaHei"/>
          <w:color w:val="1A1A1A"/>
        </w:rPr>
        <w:t>五、最终结论：首席电商增长官</w:t>
      </w:r>
    </w:p>
    <w:p>
      <w:pPr>
        <w:pStyle w:val="Heading2"/>
      </w:pPr>
      <w:r>
        <w:rPr>
          <w:rFonts w:ascii="Microsoft YaHei" w:hAnsi="Microsoft YaHei"/>
          <w:color w:val="1A1A1A"/>
        </w:rPr>
        <w:t>5.1 战略定位</w:t>
      </w:r>
    </w:p>
    <w:p>
      <w:r>
        <w:rPr>
          <w:rFonts w:ascii="Microsoft YaHei" w:hAnsi="Microsoft YaHei"/>
          <w:b w:val="0"/>
          <w:sz w:val="21"/>
        </w:rPr>
        <w:t>以美妆行业为第一战场，以“首席电商增长官”为产品定位，以产品创新引擎为尖刀切入。</w:t>
      </w:r>
    </w:p>
    <w:p>
      <w:r>
        <w:rPr>
          <w:rFonts w:ascii="Microsoft YaHei" w:hAnsi="Microsoft YaHei"/>
          <w:b w:val="0"/>
          <w:sz w:val="21"/>
        </w:rPr>
        <w:t>客户买的不是一个工具，而是一个角色——一个AI化的增长VP。第一阶段交付增长官的核心能力：帮助品牌看清增长卡点、捕捉产品创新机会。后续阶段逐步解锁内容运营、广告运营、用户运营、全链路运营等完整增长能力。</w:t>
      </w:r>
    </w:p>
    <w:p>
      <w:pPr>
        <w:pStyle w:val="Heading2"/>
      </w:pPr>
      <w:r>
        <w:rPr>
          <w:rFonts w:ascii="Microsoft YaHei" w:hAnsi="Microsoft YaHei"/>
          <w:color w:val="1A1A1A"/>
        </w:rPr>
        <w:t>5.2 护城河</w:t>
      </w:r>
    </w:p>
    <w:p>
      <w:pPr>
        <w:pStyle w:val="ListBullet"/>
      </w:pPr>
      <w:r>
        <w:rPr>
          <w:rFonts w:ascii="Microsoft YaHei" w:hAnsi="Microsoft YaHei"/>
          <w:sz w:val="21"/>
        </w:rPr>
        <w:t>行业知识图谱：美妆“成分-功效-肤感-痛点”知识图谱，需要行业专家与AI工程师深度磨合，大厂AI实验室难以复制。</w:t>
      </w:r>
    </w:p>
    <w:p>
      <w:pPr>
        <w:pStyle w:val="ListBullet"/>
      </w:pPr>
      <w:r>
        <w:rPr>
          <w:rFonts w:ascii="Microsoft YaHei" w:hAnsi="Microsoft YaHei"/>
          <w:sz w:val="21"/>
        </w:rPr>
        <w:t>客户私有数据飞轮：一旦接入企业内部数据，系统越用越准，迁移成本指数级增长。</w:t>
      </w:r>
    </w:p>
    <w:p>
      <w:pPr>
        <w:pStyle w:val="ListBullet"/>
      </w:pPr>
      <w:r>
        <w:rPr>
          <w:rFonts w:ascii="Microsoft YaHei" w:hAnsi="Microsoft YaHei"/>
          <w:sz w:val="21"/>
        </w:rPr>
        <w:t>跨平台全域视角：打通淘宝、京东、小红书、抖音等数据孤岛，提供任何单一平台无法提供的全域分析。</w:t>
      </w:r>
    </w:p>
    <w:p>
      <w:pPr>
        <w:pStyle w:val="ListBullet"/>
      </w:pPr>
      <w:r>
        <w:rPr>
          <w:rFonts w:ascii="Microsoft YaHei" w:hAnsi="Microsoft YaHei"/>
          <w:sz w:val="21"/>
        </w:rPr>
        <w:t>引擎协同网络效应：未来五个引擎通过编排器协同，形成“诊断-策略-执行-复盘”闭环，单点工具无法竞争。</w:t>
      </w:r>
    </w:p>
    <w:p>
      <w:pPr>
        <w:pStyle w:val="Heading2"/>
      </w:pPr>
      <w:r>
        <w:rPr>
          <w:rFonts w:ascii="Microsoft YaHei" w:hAnsi="Microsoft YaHei"/>
          <w:color w:val="1A1A1A"/>
        </w:rPr>
        <w:t>5.3 终局愿景</w:t>
      </w:r>
    </w:p>
    <w:p>
      <w:r>
        <w:rPr>
          <w:rFonts w:ascii="Microsoft YaHei" w:hAnsi="Microsoft YaHei"/>
          <w:b w:val="0"/>
          <w:sz w:val="21"/>
        </w:rPr>
        <w:t>从一个为美妆品牌提供“产品创新洞察”的AI工作台出发，逐步进化为覆盖产品、内容、广告、用户、全链路的“首席电商增长官”系统，最终成为消费品牌增长决策的核心AI基础设施。</w:t>
      </w:r>
    </w:p>
    <w:p/>
    <w:p/>
    <w:p>
      <w:pPr>
        <w:spacing w:line="360" w:lineRule="auto"/>
      </w:pPr>
      <w:r>
        <w:rPr>
          <w:rFonts w:ascii="Microsoft YaHei" w:hAnsi="Microsoft YaHei"/>
          <w:i/>
          <w:color w:val="666666"/>
          <w:sz w:val="21"/>
        </w:rPr>
        <w:t>核心思想：这个战略推演的起点，是对互联网经济底层规律的抽象。通过层层递进的分析、质疑、修正和聚焦，最终将宏大的AI经济创业机会，收敛到了一个极其具体、可执行、且高度匹配创始人禀赋的战略起点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60" w:after="60" w:line="360" w:lineRule="auto"/>
    </w:pPr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 w:ascii="Microsoft YaHei" w:hAnsi="Microsoft YaHei"/>
      <w:b/>
      <w:bCs/>
      <w:color w:val="1A1A1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200"/>
      <w:outlineLvl w:val="1"/>
    </w:pPr>
    <w:rPr>
      <w:rFonts w:asciiTheme="majorHAnsi" w:eastAsiaTheme="majorEastAsia" w:hAnsiTheme="majorHAnsi" w:cstheme="majorBidi" w:ascii="Microsoft YaHei" w:hAnsi="Microsoft YaHei"/>
      <w:b/>
      <w:bCs/>
      <w:color w:val="1A1A1A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Microsoft YaHei" w:hAnsi="Microsoft YaHei"/>
      <w:b/>
      <w:bCs/>
      <w:color w:val="1A1A1A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